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14FDA"/>
    <w:p w:rsidR="004B3BB0"/>
    <w:p w:rsidR="004B3BB0"/>
    <w:p w:rsidR="004B3BB0"/>
    <w:p w:rsidR="004B3BB0" w:rsidP="004B3BB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Price Gouging </w:t>
      </w:r>
    </w:p>
    <w:p w:rsidR="004B3BB0" w:rsidP="004B3BB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B3BB0" w:rsidP="004B3BB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B3BB0" w:rsidP="004B3BB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B3BB0">
      <w:pPr>
        <w:rPr>
          <w:rFonts w:ascii="Times New Roman" w:hAnsi="Times New Roman" w:cs="Times New Roman"/>
          <w:sz w:val="24"/>
          <w:szCs w:val="24"/>
        </w:rPr>
      </w:pPr>
      <w:r>
        <w:rPr>
          <w:rFonts w:ascii="Times New Roman" w:hAnsi="Times New Roman" w:cs="Times New Roman"/>
          <w:sz w:val="24"/>
          <w:szCs w:val="24"/>
        </w:rPr>
        <w:br w:type="page"/>
      </w:r>
    </w:p>
    <w:p w:rsidR="004B3BB0" w:rsidP="004B3BB0">
      <w:pPr>
        <w:spacing w:line="480" w:lineRule="auto"/>
        <w:jc w:val="center"/>
        <w:rPr>
          <w:rFonts w:ascii="Times New Roman" w:hAnsi="Times New Roman" w:cs="Times New Roman"/>
          <w:sz w:val="24"/>
          <w:szCs w:val="24"/>
        </w:rPr>
      </w:pPr>
      <w:r>
        <w:rPr>
          <w:rFonts w:ascii="Times New Roman" w:hAnsi="Times New Roman" w:cs="Times New Roman"/>
          <w:sz w:val="24"/>
          <w:szCs w:val="24"/>
        </w:rPr>
        <w:t>Price Gouging</w:t>
      </w:r>
    </w:p>
    <w:p w:rsidR="00E7328B" w:rsidP="004B3BB0">
      <w:pPr>
        <w:spacing w:line="480" w:lineRule="auto"/>
        <w:ind w:firstLine="720"/>
        <w:rPr>
          <w:rFonts w:ascii="Times New Roman" w:hAnsi="Times New Roman" w:cs="Times New Roman"/>
          <w:sz w:val="24"/>
          <w:szCs w:val="24"/>
        </w:rPr>
      </w:pPr>
      <w:r>
        <w:rPr>
          <w:rFonts w:ascii="Times New Roman" w:hAnsi="Times New Roman" w:cs="Times New Roman"/>
          <w:sz w:val="24"/>
          <w:szCs w:val="24"/>
        </w:rPr>
        <w:t>Price gouging is the act of sharply raising the price of good and services in times of acute shortage</w:t>
      </w:r>
      <w:sdt>
        <w:sdtPr>
          <w:rPr>
            <w:rFonts w:ascii="Times New Roman" w:hAnsi="Times New Roman" w:cs="Times New Roman"/>
            <w:sz w:val="24"/>
            <w:szCs w:val="24"/>
          </w:rPr>
          <w:id w:val="698368185"/>
          <w:citation/>
        </w:sdtPr>
        <w:sdtContent>
          <w:r w:rsidR="00F27133">
            <w:rPr>
              <w:rFonts w:ascii="Times New Roman" w:hAnsi="Times New Roman" w:cs="Times New Roman"/>
              <w:sz w:val="24"/>
              <w:szCs w:val="24"/>
            </w:rPr>
            <w:fldChar w:fldCharType="begin"/>
          </w:r>
          <w:r w:rsidR="00F27133">
            <w:rPr>
              <w:rFonts w:ascii="Times New Roman" w:hAnsi="Times New Roman" w:cs="Times New Roman"/>
              <w:sz w:val="24"/>
              <w:szCs w:val="24"/>
            </w:rPr>
            <w:instrText xml:space="preserve">CITATION Que18 \l 1033 </w:instrText>
          </w:r>
          <w:r w:rsidR="00F27133">
            <w:rPr>
              <w:rFonts w:ascii="Times New Roman" w:hAnsi="Times New Roman" w:cs="Times New Roman"/>
              <w:sz w:val="24"/>
              <w:szCs w:val="24"/>
            </w:rPr>
            <w:fldChar w:fldCharType="separate"/>
          </w:r>
          <w:r w:rsidR="00F27133">
            <w:rPr>
              <w:rFonts w:ascii="Times New Roman" w:hAnsi="Times New Roman" w:cs="Times New Roman"/>
              <w:noProof/>
              <w:sz w:val="24"/>
              <w:szCs w:val="24"/>
            </w:rPr>
            <w:t xml:space="preserve"> </w:t>
          </w:r>
          <w:r w:rsidRPr="00F27133" w:rsidR="00F27133">
            <w:rPr>
              <w:rFonts w:ascii="Times New Roman" w:hAnsi="Times New Roman" w:cs="Times New Roman"/>
              <w:noProof/>
              <w:sz w:val="24"/>
              <w:szCs w:val="24"/>
            </w:rPr>
            <w:t>(Pamela, 2018)</w:t>
          </w:r>
          <w:r w:rsidR="00F27133">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The sellers or service providers exploit the market shortage to raise the price disproportionately high to maximize their profit. The legality or illegality of the practice is still a subject of debate with various states in the United States enacting </w:t>
      </w:r>
      <w:r w:rsidR="005249FF">
        <w:rPr>
          <w:rFonts w:ascii="Times New Roman" w:hAnsi="Times New Roman" w:cs="Times New Roman"/>
          <w:sz w:val="24"/>
          <w:szCs w:val="24"/>
        </w:rPr>
        <w:t>laws prohibiting the act during specific occasions like a state of emergency. Currently, only thirty-four states have laws prohibiting price gouging during various circumstances</w:t>
      </w:r>
      <w:sdt>
        <w:sdtPr>
          <w:rPr>
            <w:rFonts w:ascii="Times New Roman" w:hAnsi="Times New Roman" w:cs="Times New Roman"/>
            <w:sz w:val="24"/>
            <w:szCs w:val="24"/>
          </w:rPr>
          <w:id w:val="-54554879"/>
          <w:citation/>
        </w:sdtPr>
        <w:sdtContent>
          <w:r w:rsidR="00784E49">
            <w:rPr>
              <w:rFonts w:ascii="Times New Roman" w:hAnsi="Times New Roman" w:cs="Times New Roman"/>
              <w:sz w:val="24"/>
              <w:szCs w:val="24"/>
            </w:rPr>
            <w:fldChar w:fldCharType="begin"/>
          </w:r>
          <w:r w:rsidR="00784E49">
            <w:rPr>
              <w:rFonts w:ascii="Times New Roman" w:hAnsi="Times New Roman" w:cs="Times New Roman"/>
              <w:sz w:val="24"/>
              <w:szCs w:val="24"/>
            </w:rPr>
            <w:instrText xml:space="preserve"> CITATION Fin19 \l 1033 </w:instrText>
          </w:r>
          <w:r w:rsidR="00784E49">
            <w:rPr>
              <w:rFonts w:ascii="Times New Roman" w:hAnsi="Times New Roman" w:cs="Times New Roman"/>
              <w:sz w:val="24"/>
              <w:szCs w:val="24"/>
            </w:rPr>
            <w:fldChar w:fldCharType="separate"/>
          </w:r>
          <w:r w:rsidR="00784E49">
            <w:rPr>
              <w:rFonts w:ascii="Times New Roman" w:hAnsi="Times New Roman" w:cs="Times New Roman"/>
              <w:noProof/>
              <w:sz w:val="24"/>
              <w:szCs w:val="24"/>
            </w:rPr>
            <w:t xml:space="preserve"> </w:t>
          </w:r>
          <w:r w:rsidRPr="00784E49" w:rsidR="00784E49">
            <w:rPr>
              <w:rFonts w:ascii="Times New Roman" w:hAnsi="Times New Roman" w:cs="Times New Roman"/>
              <w:noProof/>
              <w:sz w:val="24"/>
              <w:szCs w:val="24"/>
            </w:rPr>
            <w:t>(Findlaw, 2019)</w:t>
          </w:r>
          <w:r w:rsidR="00784E49">
            <w:rPr>
              <w:rFonts w:ascii="Times New Roman" w:hAnsi="Times New Roman" w:cs="Times New Roman"/>
              <w:sz w:val="24"/>
              <w:szCs w:val="24"/>
            </w:rPr>
            <w:fldChar w:fldCharType="end"/>
          </w:r>
        </w:sdtContent>
      </w:sdt>
      <w:r w:rsidR="005249FF">
        <w:rPr>
          <w:rFonts w:ascii="Times New Roman" w:hAnsi="Times New Roman" w:cs="Times New Roman"/>
          <w:sz w:val="24"/>
          <w:szCs w:val="24"/>
        </w:rPr>
        <w:t>. However, it is impractical for states in a country tha</w:t>
      </w:r>
      <w:r>
        <w:rPr>
          <w:rFonts w:ascii="Times New Roman" w:hAnsi="Times New Roman" w:cs="Times New Roman"/>
          <w:sz w:val="24"/>
          <w:szCs w:val="24"/>
        </w:rPr>
        <w:t>t believes in market liberalism. Price gouging is thus legal regardless of the perspective one views it.</w:t>
      </w:r>
    </w:p>
    <w:p w:rsidR="009F6EDF" w:rsidP="004B3B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Firstly, price gouging is more of an ethical issue than </w:t>
      </w:r>
      <w:r w:rsidR="00384A4C">
        <w:rPr>
          <w:rFonts w:ascii="Times New Roman" w:hAnsi="Times New Roman" w:cs="Times New Roman"/>
          <w:sz w:val="24"/>
          <w:szCs w:val="24"/>
        </w:rPr>
        <w:t xml:space="preserve">legal one since most cases the business people engaged in the practice operates within existing legislation guiding trade. The legality of the practice is evident in the disparity of state laws in the thirty-four states enacted to control the "vice." For instance, the </w:t>
      </w:r>
      <w:r w:rsidR="00E14890">
        <w:rPr>
          <w:rFonts w:ascii="Times New Roman" w:hAnsi="Times New Roman" w:cs="Times New Roman"/>
          <w:sz w:val="24"/>
          <w:szCs w:val="24"/>
        </w:rPr>
        <w:t>California Penal Code 396 defines price gouging as an increase of price exceeding ten percent after the declaration of a state of emergency</w:t>
      </w:r>
      <w:sdt>
        <w:sdtPr>
          <w:rPr>
            <w:rFonts w:ascii="Times New Roman" w:hAnsi="Times New Roman" w:cs="Times New Roman"/>
            <w:sz w:val="24"/>
            <w:szCs w:val="24"/>
          </w:rPr>
          <w:id w:val="898943284"/>
          <w:citation/>
        </w:sdtPr>
        <w:sdtContent>
          <w:r w:rsidR="00943E6D">
            <w:rPr>
              <w:rFonts w:ascii="Times New Roman" w:hAnsi="Times New Roman" w:cs="Times New Roman"/>
              <w:sz w:val="24"/>
              <w:szCs w:val="24"/>
            </w:rPr>
            <w:fldChar w:fldCharType="begin"/>
          </w:r>
          <w:r w:rsidR="00943E6D">
            <w:rPr>
              <w:rFonts w:ascii="Times New Roman" w:hAnsi="Times New Roman" w:cs="Times New Roman"/>
              <w:sz w:val="24"/>
              <w:szCs w:val="24"/>
            </w:rPr>
            <w:instrText xml:space="preserve">CITATION Sta18 \l 1033 </w:instrText>
          </w:r>
          <w:r w:rsidR="00943E6D">
            <w:rPr>
              <w:rFonts w:ascii="Times New Roman" w:hAnsi="Times New Roman" w:cs="Times New Roman"/>
              <w:sz w:val="24"/>
              <w:szCs w:val="24"/>
            </w:rPr>
            <w:fldChar w:fldCharType="separate"/>
          </w:r>
          <w:r w:rsidR="00943E6D">
            <w:rPr>
              <w:rFonts w:ascii="Times New Roman" w:hAnsi="Times New Roman" w:cs="Times New Roman"/>
              <w:noProof/>
              <w:sz w:val="24"/>
              <w:szCs w:val="24"/>
            </w:rPr>
            <w:t xml:space="preserve"> </w:t>
          </w:r>
          <w:r w:rsidRPr="00943E6D" w:rsidR="00943E6D">
            <w:rPr>
              <w:rFonts w:ascii="Times New Roman" w:hAnsi="Times New Roman" w:cs="Times New Roman"/>
              <w:noProof/>
              <w:sz w:val="24"/>
              <w:szCs w:val="24"/>
            </w:rPr>
            <w:t>(State of California Department of Justice, 2019)</w:t>
          </w:r>
          <w:r w:rsidR="00943E6D">
            <w:rPr>
              <w:rFonts w:ascii="Times New Roman" w:hAnsi="Times New Roman" w:cs="Times New Roman"/>
              <w:sz w:val="24"/>
              <w:szCs w:val="24"/>
            </w:rPr>
            <w:fldChar w:fldCharType="end"/>
          </w:r>
        </w:sdtContent>
      </w:sdt>
      <w:r w:rsidR="00E14890">
        <w:rPr>
          <w:rFonts w:ascii="Times New Roman" w:hAnsi="Times New Roman" w:cs="Times New Roman"/>
          <w:sz w:val="24"/>
          <w:szCs w:val="24"/>
        </w:rPr>
        <w:t>. In Florida, the law prohibits price increases "that grossly exceeds the average price" within thirty days to the emergency declaration</w:t>
      </w:r>
      <w:sdt>
        <w:sdtPr>
          <w:rPr>
            <w:rFonts w:ascii="Times New Roman" w:hAnsi="Times New Roman" w:cs="Times New Roman"/>
            <w:sz w:val="24"/>
            <w:szCs w:val="24"/>
          </w:rPr>
          <w:id w:val="-716971417"/>
          <w:citation/>
        </w:sdtPr>
        <w:sdtContent>
          <w:r w:rsidR="00643B98">
            <w:rPr>
              <w:rFonts w:ascii="Times New Roman" w:hAnsi="Times New Roman" w:cs="Times New Roman"/>
              <w:sz w:val="24"/>
              <w:szCs w:val="24"/>
            </w:rPr>
            <w:fldChar w:fldCharType="begin"/>
          </w:r>
          <w:r w:rsidR="00643B98">
            <w:rPr>
              <w:rFonts w:ascii="Times New Roman" w:hAnsi="Times New Roman" w:cs="Times New Roman"/>
              <w:sz w:val="24"/>
              <w:szCs w:val="24"/>
            </w:rPr>
            <w:instrText xml:space="preserve">CITATION Ste19 \l 1033 </w:instrText>
          </w:r>
          <w:r w:rsidR="00643B98">
            <w:rPr>
              <w:rFonts w:ascii="Times New Roman" w:hAnsi="Times New Roman" w:cs="Times New Roman"/>
              <w:sz w:val="24"/>
              <w:szCs w:val="24"/>
            </w:rPr>
            <w:fldChar w:fldCharType="separate"/>
          </w:r>
          <w:r w:rsidR="00643B98">
            <w:rPr>
              <w:rFonts w:ascii="Times New Roman" w:hAnsi="Times New Roman" w:cs="Times New Roman"/>
              <w:noProof/>
              <w:sz w:val="24"/>
              <w:szCs w:val="24"/>
            </w:rPr>
            <w:t xml:space="preserve"> </w:t>
          </w:r>
          <w:r w:rsidRPr="00643B98" w:rsidR="00643B98">
            <w:rPr>
              <w:rFonts w:ascii="Times New Roman" w:hAnsi="Times New Roman" w:cs="Times New Roman"/>
              <w:noProof/>
              <w:sz w:val="24"/>
              <w:szCs w:val="24"/>
            </w:rPr>
            <w:t>(Online Sunshine, 2019)</w:t>
          </w:r>
          <w:r w:rsidR="00643B98">
            <w:rPr>
              <w:rFonts w:ascii="Times New Roman" w:hAnsi="Times New Roman" w:cs="Times New Roman"/>
              <w:sz w:val="24"/>
              <w:szCs w:val="24"/>
            </w:rPr>
            <w:fldChar w:fldCharType="end"/>
          </w:r>
        </w:sdtContent>
      </w:sdt>
      <w:r w:rsidR="00E14890">
        <w:rPr>
          <w:rFonts w:ascii="Times New Roman" w:hAnsi="Times New Roman" w:cs="Times New Roman"/>
          <w:sz w:val="24"/>
          <w:szCs w:val="24"/>
        </w:rPr>
        <w:t xml:space="preserve">. However, the law does clearly state what increase meets the stated “gross disparity”. The disparities on the state laws also exist on the validity of the state of emergency </w:t>
      </w:r>
      <w:r w:rsidR="009F6BA2">
        <w:rPr>
          <w:rFonts w:ascii="Times New Roman" w:hAnsi="Times New Roman" w:cs="Times New Roman"/>
          <w:sz w:val="24"/>
          <w:szCs w:val="24"/>
        </w:rPr>
        <w:t>by defining whom to declare it. For example, in the states of Alabama, Ohio, Florida, and Mississippi the law is only enforced when the declaration is made by either the president or state governors. In other states like California, it is more open as it includes the proclamations by boards and city managers</w:t>
      </w:r>
      <w:sdt>
        <w:sdtPr>
          <w:rPr>
            <w:rFonts w:ascii="Times New Roman" w:hAnsi="Times New Roman" w:cs="Times New Roman"/>
            <w:sz w:val="24"/>
            <w:szCs w:val="24"/>
          </w:rPr>
          <w:id w:val="314075457"/>
          <w:citation/>
        </w:sdtPr>
        <w:sdtContent>
          <w:r w:rsidR="00643B98">
            <w:rPr>
              <w:rFonts w:ascii="Times New Roman" w:hAnsi="Times New Roman" w:cs="Times New Roman"/>
              <w:sz w:val="24"/>
              <w:szCs w:val="24"/>
            </w:rPr>
            <w:fldChar w:fldCharType="begin"/>
          </w:r>
          <w:r w:rsidR="00643B98">
            <w:rPr>
              <w:rFonts w:ascii="Times New Roman" w:hAnsi="Times New Roman" w:cs="Times New Roman"/>
              <w:sz w:val="24"/>
              <w:szCs w:val="24"/>
            </w:rPr>
            <w:instrText xml:space="preserve"> CITATION Sta18 \l 1033 </w:instrText>
          </w:r>
          <w:r w:rsidR="00643B98">
            <w:rPr>
              <w:rFonts w:ascii="Times New Roman" w:hAnsi="Times New Roman" w:cs="Times New Roman"/>
              <w:sz w:val="24"/>
              <w:szCs w:val="24"/>
            </w:rPr>
            <w:fldChar w:fldCharType="separate"/>
          </w:r>
          <w:r w:rsidR="00643B98">
            <w:rPr>
              <w:rFonts w:ascii="Times New Roman" w:hAnsi="Times New Roman" w:cs="Times New Roman"/>
              <w:noProof/>
              <w:sz w:val="24"/>
              <w:szCs w:val="24"/>
            </w:rPr>
            <w:t xml:space="preserve"> </w:t>
          </w:r>
          <w:r w:rsidRPr="00643B98" w:rsidR="00643B98">
            <w:rPr>
              <w:rFonts w:ascii="Times New Roman" w:hAnsi="Times New Roman" w:cs="Times New Roman"/>
              <w:noProof/>
              <w:sz w:val="24"/>
              <w:szCs w:val="24"/>
            </w:rPr>
            <w:t>(State of California Department of Justice, 2019)</w:t>
          </w:r>
          <w:r w:rsidR="00643B98">
            <w:rPr>
              <w:rFonts w:ascii="Times New Roman" w:hAnsi="Times New Roman" w:cs="Times New Roman"/>
              <w:sz w:val="24"/>
              <w:szCs w:val="24"/>
            </w:rPr>
            <w:fldChar w:fldCharType="end"/>
          </w:r>
        </w:sdtContent>
      </w:sdt>
      <w:r w:rsidR="009F6BA2">
        <w:rPr>
          <w:rFonts w:ascii="Times New Roman" w:hAnsi="Times New Roman" w:cs="Times New Roman"/>
          <w:sz w:val="24"/>
          <w:szCs w:val="24"/>
        </w:rPr>
        <w:t>. The inconsistency in these laws points to the fact these states are coming up with legislation to control</w:t>
      </w:r>
      <w:r>
        <w:rPr>
          <w:rFonts w:ascii="Times New Roman" w:hAnsi="Times New Roman" w:cs="Times New Roman"/>
          <w:sz w:val="24"/>
          <w:szCs w:val="24"/>
        </w:rPr>
        <w:t xml:space="preserve"> legal practices.
</w:t>
      </w:r>
    </w:p>
    <w:p w:rsidR="005F1173" w:rsidP="004B3BB0">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Secondly, the United States is a capitalist country with a liberal market. The principles of economics demand that the prices in free markets are determined the forces of demand and supply. The</w:t>
      </w:r>
      <w:r w:rsidR="00AB02C9">
        <w:rPr>
          <w:rFonts w:ascii="Times New Roman" w:hAnsi="Times New Roman" w:cs="Times New Roman"/>
          <w:sz w:val="24"/>
          <w:szCs w:val="24"/>
        </w:rPr>
        <w:t xml:space="preserve">se forces determine the equilibrium prices of goods and services at any given time. It is worth noting that these forces are dynamic and change within a very short time. For instance, when a disaster strikes the supply is likely to go down pushing the prices of the good up. The sellers of these goods or services have the freedom to adjust the prices of their items to meet the new demands. On </w:t>
      </w:r>
      <w:r w:rsidR="00F81CF3">
        <w:rPr>
          <w:rFonts w:ascii="Times New Roman" w:hAnsi="Times New Roman" w:cs="Times New Roman"/>
          <w:sz w:val="24"/>
          <w:szCs w:val="24"/>
        </w:rPr>
        <w:t xml:space="preserve">the other hand, the buyers have the freedom to purchase the products at that given market price or stay away. </w:t>
      </w:r>
      <w:r>
        <w:rPr>
          <w:rFonts w:ascii="Times New Roman" w:hAnsi="Times New Roman" w:cs="Times New Roman"/>
          <w:sz w:val="24"/>
          <w:szCs w:val="24"/>
        </w:rPr>
        <w:t xml:space="preserve">As long as the buyers are willing and able to purchase the items at that particular price then no government intervention is required. Government interventions through legislation only interrupt the </w:t>
      </w:r>
      <w:r w:rsidR="00D12404">
        <w:rPr>
          <w:rFonts w:ascii="Times New Roman" w:hAnsi="Times New Roman" w:cs="Times New Roman"/>
          <w:sz w:val="24"/>
          <w:szCs w:val="24"/>
        </w:rPr>
        <w:t xml:space="preserve">free market. </w:t>
      </w:r>
    </w:p>
    <w:p w:rsidR="004B3BB0" w:rsidP="00D12404">
      <w:pPr>
        <w:spacing w:line="480" w:lineRule="auto"/>
        <w:rPr>
          <w:rFonts w:ascii="Times New Roman" w:hAnsi="Times New Roman" w:cs="Times New Roman"/>
          <w:sz w:val="24"/>
          <w:szCs w:val="24"/>
        </w:rPr>
      </w:pPr>
      <w:r>
        <w:rPr>
          <w:rFonts w:ascii="Times New Roman" w:hAnsi="Times New Roman" w:cs="Times New Roman"/>
          <w:sz w:val="24"/>
          <w:szCs w:val="24"/>
        </w:rPr>
        <w:t xml:space="preserve"> Besides, there are existing laws that guide contractual obligation between buyers and sellers thus no need of having new regulations targeting the behavior. One of the arguments presented by proponents of legislation against gouging is that the sellers often breach their contracts with buyers and opt to sell their products at new prices. Currently, there are existing both states' and federal laws that guide </w:t>
      </w:r>
      <w:r w:rsidR="00CF425C">
        <w:rPr>
          <w:rFonts w:ascii="Times New Roman" w:hAnsi="Times New Roman" w:cs="Times New Roman"/>
          <w:sz w:val="24"/>
          <w:szCs w:val="24"/>
        </w:rPr>
        <w:t xml:space="preserve">business agreements between parties and also recommends various resolutions methods. It </w:t>
      </w:r>
      <w:r w:rsidR="0044009A">
        <w:rPr>
          <w:rFonts w:ascii="Times New Roman" w:hAnsi="Times New Roman" w:cs="Times New Roman"/>
          <w:sz w:val="24"/>
          <w:szCs w:val="24"/>
        </w:rPr>
        <w:t>is thus inaccurate to presume that passing anti-gouging laws will help in lowering contract related conflicts during a crisis.
</w:t>
      </w:r>
    </w:p>
    <w:p w:rsidR="0044009A" w:rsidP="0044009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price gouging is not a criminal act but rather an element of a free market. The U.S. is a capitalist nation that believes in free trade hence the equilibrium prices should be primarily a function of demand and supply. Even though the practice is unethical, it is very legal based on the country's trade policy. Besides, the government cannot go around legislating </w:t>
      </w:r>
      <w:r w:rsidR="00065A45">
        <w:rPr>
          <w:rFonts w:ascii="Times New Roman" w:hAnsi="Times New Roman" w:cs="Times New Roman"/>
          <w:sz w:val="24"/>
          <w:szCs w:val="24"/>
        </w:rPr>
        <w:t xml:space="preserve">over every ethical issue that comes up. </w:t>
      </w:r>
    </w:p>
    <w:p w:rsidR="00DD1B8C" w:rsidP="0044009A">
      <w:pPr>
        <w:spacing w:line="480" w:lineRule="auto"/>
        <w:ind w:firstLine="720"/>
        <w:rPr>
          <w:rFonts w:ascii="Times New Roman" w:hAnsi="Times New Roman" w:cs="Times New Roman"/>
          <w:sz w:val="24"/>
          <w:szCs w:val="24"/>
        </w:rPr>
      </w:pPr>
    </w:p>
    <w:p w:rsidR="00DD1B8C" w:rsidP="00DD1B8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DD1B8C" w:rsidP="00DD1B8C">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Findlaw. (2019). </w:t>
      </w:r>
      <w:r>
        <w:rPr>
          <w:i/>
          <w:iCs/>
          <w:noProof/>
        </w:rPr>
        <w:t>Price Gouging Laws by State</w:t>
      </w:r>
      <w:r>
        <w:rPr>
          <w:noProof/>
        </w:rPr>
        <w:t>. Retrieved from Findlaw: https://consumer.findlaw.com/consumer-transactions/price-gouging-laws-by-state.html
</w:t>
      </w:r>
    </w:p>
    <w:p w:rsidR="00DD1B8C" w:rsidP="00DD1B8C">
      <w:pPr>
        <w:pStyle w:val="Bibliography"/>
        <w:ind w:left="720" w:hanging="720"/>
        <w:rPr>
          <w:noProof/>
        </w:rPr>
      </w:pPr>
      <w:r>
        <w:rPr>
          <w:noProof/>
        </w:rPr>
        <w:t xml:space="preserve">Online Sunshine. (2019). </w:t>
      </w:r>
      <w:r>
        <w:rPr>
          <w:i/>
          <w:iCs/>
          <w:noProof/>
        </w:rPr>
        <w:t>The 2018 Florida Statutes</w:t>
      </w:r>
      <w:r>
        <w:rPr>
          <w:noProof/>
        </w:rPr>
        <w:t>. Retrieved from Online Sunshine: http://www.leg.state.fl.us/statutes/index.cfm?App_mode=Display_Statute&amp;URL=0500-0599/0501/Sections/0501.160.html
</w:t>
      </w:r>
    </w:p>
    <w:p w:rsidR="00DD1B8C" w:rsidP="00DD1B8C">
      <w:pPr>
        <w:pStyle w:val="Bibliography"/>
        <w:ind w:left="720" w:hanging="720"/>
        <w:rPr>
          <w:noProof/>
        </w:rPr>
      </w:pPr>
      <w:r>
        <w:rPr>
          <w:noProof/>
        </w:rPr>
        <w:t xml:space="preserve">Pamela, Q. E. (2018). </w:t>
      </w:r>
      <w:r>
        <w:rPr>
          <w:i/>
          <w:iCs/>
          <w:noProof/>
        </w:rPr>
        <w:t>Prescription Price Gouging: A Need for Good Government or Good Corporate Citizens?</w:t>
      </w:r>
      <w:r>
        <w:rPr>
          <w:noProof/>
        </w:rPr>
        <w:t xml:space="preserve"> SAGE Publications: SAGE Business Cases Originals.</w:t>
      </w:r>
    </w:p>
    <w:p w:rsidR="00DD1B8C" w:rsidP="00DD1B8C">
      <w:pPr>
        <w:pStyle w:val="Bibliography"/>
        <w:ind w:left="720" w:hanging="720"/>
        <w:rPr>
          <w:noProof/>
        </w:rPr>
      </w:pPr>
      <w:r>
        <w:rPr>
          <w:noProof/>
        </w:rPr>
        <w:t xml:space="preserve">State of California Department of Justice. (2019). </w:t>
      </w:r>
      <w:r>
        <w:rPr>
          <w:i/>
          <w:iCs/>
          <w:noProof/>
        </w:rPr>
        <w:t>FAQs on Price Gouging</w:t>
      </w:r>
      <w:r>
        <w:rPr>
          <w:noProof/>
        </w:rPr>
        <w:t>. Retrieved from State of California Department of Justice: https://oag.ca.gov/consumers/pricegougingduringdisasters</w:t>
      </w:r>
    </w:p>
    <w:p w:rsidR="00DD1B8C" w:rsidP="00DD1B8C">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p w:rsidR="00DD1B8C" w:rsidRPr="004B3BB0" w:rsidP="0044009A">
      <w:pPr>
        <w:spacing w:line="480" w:lineRule="auto"/>
        <w:ind w:firstLine="720"/>
        <w:rPr>
          <w:rFonts w:ascii="Times New Roman" w:hAnsi="Times New Roman" w:cs="Times New Roman"/>
          <w:sz w:val="24"/>
          <w:szCs w:val="24"/>
        </w:rPr>
      </w:pPr>
    </w:p>
    <w:p w:rsidR="004B3BB0"/>
    <w:sectPr w:rsidSect="004B3BB0">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BB0" w:rsidRPr="004B3BB0">
    <w:pPr>
      <w:pStyle w:val="Header"/>
      <w:rPr>
        <w:rFonts w:ascii="Times New Roman" w:hAnsi="Times New Roman" w:cs="Times New Roman"/>
        <w:sz w:val="24"/>
        <w:szCs w:val="24"/>
      </w:rPr>
    </w:pPr>
    <w:r>
      <w:rPr>
        <w:rFonts w:ascii="Times New Roman" w:hAnsi="Times New Roman" w:cs="Times New Roman"/>
        <w:sz w:val="24"/>
        <w:szCs w:val="24"/>
      </w:rPr>
      <w:t xml:space="preserve">Price Gouging </w:t>
    </w:r>
    <w:r>
      <w:rPr>
        <w:rFonts w:ascii="Times New Roman" w:hAnsi="Times New Roman" w:cs="Times New Roman"/>
        <w:sz w:val="24"/>
        <w:szCs w:val="24"/>
      </w:rPr>
      <w:tab/>
    </w:r>
    <w:r>
      <w:rPr>
        <w:rFonts w:ascii="Times New Roman" w:hAnsi="Times New Roman" w:cs="Times New Roman"/>
        <w:sz w:val="24"/>
        <w:szCs w:val="24"/>
      </w:rPr>
      <w:tab/>
    </w:r>
    <w:r w:rsidRPr="004B3BB0">
      <w:rPr>
        <w:rFonts w:ascii="Times New Roman" w:hAnsi="Times New Roman" w:cs="Times New Roman"/>
        <w:sz w:val="24"/>
        <w:szCs w:val="24"/>
      </w:rPr>
      <w:fldChar w:fldCharType="begin"/>
    </w:r>
    <w:r w:rsidRPr="004B3BB0">
      <w:rPr>
        <w:rFonts w:ascii="Times New Roman" w:hAnsi="Times New Roman" w:cs="Times New Roman"/>
        <w:sz w:val="24"/>
        <w:szCs w:val="24"/>
      </w:rPr>
      <w:instrText xml:space="preserve"> PAGE   \* MERGEFORMAT </w:instrText>
    </w:r>
    <w:r w:rsidRPr="004B3BB0">
      <w:rPr>
        <w:rFonts w:ascii="Times New Roman" w:hAnsi="Times New Roman" w:cs="Times New Roman"/>
        <w:sz w:val="24"/>
        <w:szCs w:val="24"/>
      </w:rPr>
      <w:fldChar w:fldCharType="separate"/>
    </w:r>
    <w:r w:rsidR="00DD1B8C">
      <w:rPr>
        <w:rFonts w:ascii="Times New Roman" w:hAnsi="Times New Roman" w:cs="Times New Roman"/>
        <w:noProof/>
        <w:sz w:val="24"/>
        <w:szCs w:val="24"/>
      </w:rPr>
      <w:t>4</w:t>
    </w:r>
    <w:r w:rsidRPr="004B3BB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BB0" w:rsidRPr="004B3BB0">
    <w:pPr>
      <w:pStyle w:val="Header"/>
      <w:rPr>
        <w:rFonts w:ascii="Times New Roman" w:hAnsi="Times New Roman" w:cs="Times New Roman"/>
        <w:sz w:val="24"/>
        <w:szCs w:val="24"/>
      </w:rPr>
    </w:pPr>
    <w:r>
      <w:rPr>
        <w:rFonts w:ascii="Times New Roman" w:hAnsi="Times New Roman" w:cs="Times New Roman"/>
        <w:sz w:val="24"/>
        <w:szCs w:val="24"/>
      </w:rPr>
      <w:t xml:space="preserve">Running Head: Price Gouging </w:t>
    </w:r>
    <w:r>
      <w:rPr>
        <w:rFonts w:ascii="Times New Roman" w:hAnsi="Times New Roman" w:cs="Times New Roman"/>
        <w:sz w:val="24"/>
        <w:szCs w:val="24"/>
      </w:rPr>
      <w:tab/>
    </w:r>
    <w:r>
      <w:rPr>
        <w:rFonts w:ascii="Times New Roman" w:hAnsi="Times New Roman" w:cs="Times New Roman"/>
        <w:sz w:val="24"/>
        <w:szCs w:val="24"/>
      </w:rPr>
      <w:tab/>
    </w:r>
    <w:r w:rsidRPr="004B3BB0">
      <w:rPr>
        <w:rFonts w:ascii="Times New Roman" w:hAnsi="Times New Roman" w:cs="Times New Roman"/>
        <w:sz w:val="24"/>
        <w:szCs w:val="24"/>
      </w:rPr>
      <w:fldChar w:fldCharType="begin"/>
    </w:r>
    <w:r w:rsidRPr="004B3BB0">
      <w:rPr>
        <w:rFonts w:ascii="Times New Roman" w:hAnsi="Times New Roman" w:cs="Times New Roman"/>
        <w:sz w:val="24"/>
        <w:szCs w:val="24"/>
      </w:rPr>
      <w:instrText xml:space="preserve"> PAGE   \* MERGEFORMAT </w:instrText>
    </w:r>
    <w:r w:rsidRPr="004B3BB0">
      <w:rPr>
        <w:rFonts w:ascii="Times New Roman" w:hAnsi="Times New Roman" w:cs="Times New Roman"/>
        <w:sz w:val="24"/>
        <w:szCs w:val="24"/>
      </w:rPr>
      <w:fldChar w:fldCharType="separate"/>
    </w:r>
    <w:r w:rsidR="00065A45">
      <w:rPr>
        <w:rFonts w:ascii="Times New Roman" w:hAnsi="Times New Roman" w:cs="Times New Roman"/>
        <w:noProof/>
        <w:sz w:val="24"/>
        <w:szCs w:val="24"/>
      </w:rPr>
      <w:t>1</w:t>
    </w:r>
    <w:r w:rsidRPr="004B3BB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BB0"/>
    <w:rsid w:val="000331A2"/>
    <w:rsid w:val="00065A45"/>
    <w:rsid w:val="00384A4C"/>
    <w:rsid w:val="0044009A"/>
    <w:rsid w:val="004457B3"/>
    <w:rsid w:val="004B3BB0"/>
    <w:rsid w:val="00510F40"/>
    <w:rsid w:val="005249FF"/>
    <w:rsid w:val="005F1173"/>
    <w:rsid w:val="00643B98"/>
    <w:rsid w:val="00784E49"/>
    <w:rsid w:val="00922974"/>
    <w:rsid w:val="00943E6D"/>
    <w:rsid w:val="009F6BA2"/>
    <w:rsid w:val="009F6EDF"/>
    <w:rsid w:val="00AB02C9"/>
    <w:rsid w:val="00BB6567"/>
    <w:rsid w:val="00CF425C"/>
    <w:rsid w:val="00D12404"/>
    <w:rsid w:val="00DD1B8C"/>
    <w:rsid w:val="00E14890"/>
    <w:rsid w:val="00E14FDA"/>
    <w:rsid w:val="00E7328B"/>
    <w:rsid w:val="00F27133"/>
    <w:rsid w:val="00F670DD"/>
    <w:rsid w:val="00F81CF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9B8680E-50CB-4019-A608-608DAA102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9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B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BB0"/>
  </w:style>
  <w:style w:type="paragraph" w:styleId="Footer">
    <w:name w:val="footer"/>
    <w:basedOn w:val="Normal"/>
    <w:link w:val="FooterChar"/>
    <w:uiPriority w:val="99"/>
    <w:unhideWhenUsed/>
    <w:rsid w:val="004B3B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BB0"/>
  </w:style>
  <w:style w:type="paragraph" w:styleId="Bibliography">
    <w:name w:val="Bibliography"/>
    <w:basedOn w:val="Normal"/>
    <w:next w:val="Normal"/>
    <w:uiPriority w:val="37"/>
    <w:unhideWhenUsed/>
    <w:rsid w:val="00DD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Que18</b:Tag>
    <b:SourceType>Book</b:SourceType>
    <b:Guid>{F805EF01-3191-4735-A627-490BAA3F5185}</b:Guid>
    <b:Title>Prescription Price Gouging: A Need for Good Government or Good Corporate Citizens?</b:Title>
    <b:Year>2018</b:Year>
    <b:Author>
      <b:Author>
        <b:NameList>
          <b:Person>
            <b:Last>Pamela</b:Last>
            <b:First>Queen</b:First>
            <b:Middle>E</b:Middle>
          </b:Person>
        </b:NameList>
      </b:Author>
    </b:Author>
    <b:Publisher>SAGE Publications: SAGE Business Cases Originals.</b:Publisher>
    <b:RefOrder>1</b:RefOrder>
  </b:Source>
  <b:Source>
    <b:Tag>Fin19</b:Tag>
    <b:SourceType>InternetSite</b:SourceType>
    <b:Guid>{4C2AAE9E-8040-42AB-8C94-309830CFFC6D}</b:Guid>
    <b:Title>Price Gouging Laws by State</b:Title>
    <b:Year>2019</b:Year>
    <b:InternetSiteTitle>Findlaw </b:InternetSiteTitle>
    <b:URL>https://consumer.findlaw.com/consumer-transactions/price-gouging-laws-by-state.html</b:URL>
    <b:Author>
      <b:Author>
        <b:Corporate>Findlaw </b:Corporate>
      </b:Author>
    </b:Author>
    <b:RefOrder>2</b:RefOrder>
  </b:Source>
  <b:Source>
    <b:Tag>Sta18</b:Tag>
    <b:SourceType>InternetSite</b:SourceType>
    <b:Guid>{4B48D718-55C6-4345-B5B0-96115A12511A}</b:Guid>
    <b:Author>
      <b:Author>
        <b:Corporate>State of California Department of Justice</b:Corporate>
      </b:Author>
    </b:Author>
    <b:Title>FAQs on Price Gouging</b:Title>
    <b:InternetSiteTitle>State of California Department of Justice</b:InternetSiteTitle>
    <b:Year>2019</b:Year>
    <b:URL>https://oag.ca.gov/consumers/pricegougingduringdisasters</b:URL>
    <b:RefOrder>3</b:RefOrder>
  </b:Source>
  <b:Source>
    <b:Tag>Ste19</b:Tag>
    <b:SourceType>InternetSite</b:SourceType>
    <b:Guid>{C392676B-C537-44E0-9F70-A09AACB746F8}</b:Guid>
    <b:Title>The 2018 Florida Statutes</b:Title>
    <b:Year>2019</b:Year>
    <b:URL>http://www.leg.state.fl.us/statutes/index.cfm?App_mode=Display_Statute&amp;URL=0500-0599/0501/Sections/0501.160.html</b:URL>
    <b:Author>
      <b:Author>
        <b:Corporate>Online Sunshine </b:Corporate>
      </b:Author>
    </b:Author>
    <b:InternetSiteTitle>Online Sunshne </b:InternetSiteTitle>
    <b:RefOrder>4</b:RefOrder>
  </b:Source>
</b:Sources>
</file>

<file path=customXml/itemProps1.xml><?xml version="1.0" encoding="utf-8"?>
<ds:datastoreItem xmlns:ds="http://schemas.openxmlformats.org/officeDocument/2006/customXml" ds:itemID="{B7D912A5-9524-48D1-A6A0-1EE4EA283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4</Pages>
  <Words>740</Words>
  <Characters>4222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5</cp:revision>
  <dcterms:created xsi:type="dcterms:W3CDTF">2019-03-21T13:37:00Z</dcterms:created>
  <dcterms:modified xsi:type="dcterms:W3CDTF">2019-03-22T01:04:00Z</dcterms:modified>
</cp:coreProperties>
</file>